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699CD" w14:textId="409C20AC" w:rsidR="007E64C6" w:rsidRDefault="00D324FC" w:rsidP="00D324FC">
      <w:r>
        <w:t>References</w:t>
      </w:r>
    </w:p>
    <w:p w14:paraId="086257A4" w14:textId="77777777" w:rsidR="00D24C95" w:rsidRDefault="00D24C95" w:rsidP="00D324FC">
      <w:r>
        <w:t>Aria, 2009, The Liver</w:t>
      </w:r>
    </w:p>
    <w:p w14:paraId="75E841B8" w14:textId="218BB9C4" w:rsidR="00365F92" w:rsidRDefault="00DB6CFD" w:rsidP="00D324FC">
      <w:r w:rsidRPr="00DB6CFD">
        <w:t>A.Auberville &amp; A.Aubin, 2015, La motilité en ostéopathie</w:t>
      </w:r>
    </w:p>
    <w:p w14:paraId="0458170A" w14:textId="3216667B" w:rsidR="0098705D" w:rsidRDefault="0098705D" w:rsidP="00D324FC">
      <w:r w:rsidRPr="0098705D">
        <w:t>Bhargava, P. et al., 2011. Hepatic vascular shunts: embryology and imaging appearances. The British Journal of Radiology, 84(1008), pp.1142–1152.</w:t>
      </w:r>
    </w:p>
    <w:p w14:paraId="28DB1E45" w14:textId="0543F795" w:rsidR="006D6C1A" w:rsidRDefault="006D6C1A" w:rsidP="00D324FC">
      <w:r w:rsidRPr="006D6C1A">
        <w:t>Bjørnæs et al. (2016). "Does Osteopathic Manipulative Treatment (OMT) have an Effect in the Treatment of Patients Suffering from Gastro Esophageal Reflux Disease." Int J Clin Pharmacol Pharmacother 1(116): 1-7.</w:t>
      </w:r>
    </w:p>
    <w:p w14:paraId="2FFB988B" w14:textId="645CB82D" w:rsidR="002B2CA1" w:rsidRDefault="002B2CA1" w:rsidP="00D324FC">
      <w:r w:rsidRPr="002B2CA1">
        <w:t>Bouchet, A., Cuilleret, J., 2001, Anatomie topographique descriptive et fonctionnelle; Tome 4 L’abdomen, le petit bassin, SIMEP</w:t>
      </w:r>
    </w:p>
    <w:p w14:paraId="6A036C8A" w14:textId="37DE0821" w:rsidR="00C17CCA" w:rsidRDefault="00C17CCA" w:rsidP="00D324FC">
      <w:r w:rsidRPr="00C17CCA">
        <w:t>Busquet, L., 2014, Les chaînes Physiologiques Tome 1; Fondamentaux de la méthode tronc, colonne cervicale, membre supérieur, Méthode Busquet</w:t>
      </w:r>
    </w:p>
    <w:p w14:paraId="64AA1D3C" w14:textId="78F0806A" w:rsidR="008803CE" w:rsidRDefault="00FB16A4" w:rsidP="00D324FC">
      <w:r w:rsidRPr="00FB16A4">
        <w:t>Coffey, J.C. et al., 2015. An appraisal of the computed axial tomographic appearance of the human mesentery based on mesenteric contiguity from the duodenojejunal flexure to the mesorectal level. European Radiology, 26(3), pp.714–721.</w:t>
      </w:r>
      <w:r w:rsidR="008803CE" w:rsidRPr="008803CE">
        <w:t>Peritoneal Surgery, DiZerega G., 1999, `Springer</w:t>
      </w:r>
    </w:p>
    <w:p w14:paraId="3D7B5F1D" w14:textId="245BF2F5" w:rsidR="007326BE" w:rsidRDefault="007326BE" w:rsidP="00D324FC">
      <w:r w:rsidRPr="007326BE">
        <w:t>Donaldson, G.P., Lee, S.M. &amp; Mazmanian, S.K., 2016. Gut biogeography of the bacterial microbiota. Nature Reviews Microbiology, 14(1), pp.20–32.</w:t>
      </w:r>
    </w:p>
    <w:p w14:paraId="768454DA" w14:textId="6F81A1B1" w:rsidR="0069429A" w:rsidRDefault="0069429A" w:rsidP="00D324FC">
      <w:r w:rsidRPr="0069429A">
        <w:t>Donatini, 2016, Conference paper, Panta Rhei Osteo</w:t>
      </w:r>
    </w:p>
    <w:p w14:paraId="5B24FF9B" w14:textId="393C1BBC" w:rsidR="0061211C" w:rsidRDefault="0061211C" w:rsidP="00D324FC">
      <w:r w:rsidRPr="0061211C">
        <w:t>Duboc, H. et al., 2013. Connecting dysbiosis, bile-acid dysmetabolism and gut inflammation in inflammatory bowel diseases. Gut, 62(4), pp.531–539.</w:t>
      </w:r>
    </w:p>
    <w:p w14:paraId="5200C88C" w14:textId="73162B25" w:rsidR="00277762" w:rsidRDefault="00277762" w:rsidP="00D324FC">
      <w:r w:rsidRPr="00277762">
        <w:t>G.Finet &amp; C.Williame, 2000, 2nd ed., Treating visceral dysfunction</w:t>
      </w:r>
    </w:p>
    <w:p w14:paraId="055AC325" w14:textId="2DBD649D" w:rsidR="00352F13" w:rsidRDefault="00352F13" w:rsidP="00D324FC">
      <w:r w:rsidRPr="00352F13">
        <w:t>Gallego, C. et al., 2004. Congenital Hepatic Shunts. RadioGraphics, 24(3), pp.755–772.</w:t>
      </w:r>
    </w:p>
    <w:p w14:paraId="55C9A4D7" w14:textId="61533998" w:rsidR="002F0893" w:rsidRDefault="002F0893" w:rsidP="00D324FC">
      <w:r w:rsidRPr="002F0893">
        <w:t>Gordillo et al. Development 2015;142:2094-2108</w:t>
      </w:r>
    </w:p>
    <w:p w14:paraId="50D5669E" w14:textId="5302BE08" w:rsidR="00144FB4" w:rsidRDefault="00144FB4" w:rsidP="00D324FC">
      <w:r w:rsidRPr="00144FB4">
        <w:t>Gressner, A.M., 2009. Non-invasive biomarkers for monitoring the fibrogenic process in liver: A short survey. World Journal of Gastroenterology, 15(20), pp.2433–8.</w:t>
      </w:r>
    </w:p>
    <w:p w14:paraId="23483E93" w14:textId="6B7015E0" w:rsidR="00450C03" w:rsidRDefault="00450C03" w:rsidP="00D324FC">
      <w:r w:rsidRPr="00450C03">
        <w:t>Grzymkowski, J., Wyatt, B., &amp; Nascone-Yoder, N. (2020). The twists and turns of left-right asymmetric gut morphogenesis. Development, 147(19).</w:t>
      </w:r>
    </w:p>
    <w:p w14:paraId="05193A99" w14:textId="280945C4" w:rsidR="00365F92" w:rsidRDefault="00365F92" w:rsidP="00D324FC">
      <w:r w:rsidRPr="00365F92">
        <w:t>van den Heede, 2013, Morphologie kurs, Hamburg</w:t>
      </w:r>
    </w:p>
    <w:p w14:paraId="62D3EFC7" w14:textId="0B483B3B" w:rsidR="00D324FC" w:rsidRDefault="00102554" w:rsidP="00D324FC">
      <w:r w:rsidRPr="00102554">
        <w:t>van den Heede, 2014, Fascia in Osteopathy, OSD</w:t>
      </w:r>
    </w:p>
    <w:p w14:paraId="6D14F509" w14:textId="6810CFD3" w:rsidR="008B681E" w:rsidRDefault="008B681E" w:rsidP="00D324FC">
      <w:r w:rsidRPr="008B681E">
        <w:t>Henley, C. E., Ivins, D., Mills, M., Wen, F. K., &amp; Benjamin, B. A. (2008). Osteopathic manipulative treatment and its relationship to autonomic nervous system activity as demonstrated by heart rate variability: a repeated measures study. Osteopathic Medicine and Primary Care, 2(1), 7.</w:t>
      </w:r>
    </w:p>
    <w:p w14:paraId="35F10F49" w14:textId="77777777" w:rsidR="00AB2F0E" w:rsidRDefault="00405DE6" w:rsidP="00AB2F0E">
      <w:r w:rsidRPr="00405DE6">
        <w:lastRenderedPageBreak/>
        <w:t>Herre, K. (2013). Farbkodierte Duplexsonographie des Blutflusses der großen Mesenterialarterie unter Anwendung einer osteopathischen Technik für die Radix mesenterii.</w:t>
      </w:r>
    </w:p>
    <w:p w14:paraId="2AE0F209" w14:textId="2AE6A58D" w:rsidR="00AB2F0E" w:rsidRPr="0048113A" w:rsidRDefault="00AB2F0E" w:rsidP="00AB2F0E">
      <w:pPr>
        <w:rPr>
          <w:rFonts w:asciiTheme="minorHAnsi" w:hAnsiTheme="minorHAnsi"/>
          <w:i/>
          <w:iCs/>
        </w:rPr>
      </w:pPr>
      <w:r w:rsidRPr="0048113A">
        <w:rPr>
          <w:rStyle w:val="s1"/>
          <w:rFonts w:asciiTheme="minorHAnsi" w:hAnsiTheme="minorHAnsi"/>
          <w:i w:val="0"/>
          <w:iCs w:val="0"/>
          <w:sz w:val="22"/>
          <w:szCs w:val="22"/>
        </w:rPr>
        <w:t xml:space="preserve">Hinrichsen, </w:t>
      </w:r>
      <w:r w:rsidR="0048113A" w:rsidRPr="0048113A">
        <w:rPr>
          <w:rStyle w:val="s1"/>
          <w:rFonts w:asciiTheme="minorHAnsi" w:hAnsiTheme="minorHAnsi"/>
          <w:i w:val="0"/>
          <w:iCs w:val="0"/>
          <w:sz w:val="22"/>
          <w:szCs w:val="22"/>
        </w:rPr>
        <w:t xml:space="preserve">Human Embryologie, </w:t>
      </w:r>
      <w:r w:rsidRPr="0048113A">
        <w:rPr>
          <w:rStyle w:val="s1"/>
          <w:rFonts w:asciiTheme="minorHAnsi" w:hAnsiTheme="minorHAnsi"/>
          <w:i w:val="0"/>
          <w:iCs w:val="0"/>
          <w:sz w:val="22"/>
          <w:szCs w:val="22"/>
        </w:rPr>
        <w:t>1993</w:t>
      </w:r>
    </w:p>
    <w:p w14:paraId="6B179E1D" w14:textId="77777777" w:rsidR="00AB2F0E" w:rsidRDefault="00AB2F0E" w:rsidP="00D324FC"/>
    <w:p w14:paraId="1C3E0D2A" w14:textId="126BF75F" w:rsidR="00D0105A" w:rsidRDefault="00D0105A" w:rsidP="00D324FC">
      <w:r>
        <w:t>Huizinga 2013 Nature, Origin of segmentation Motor activity in the intestine</w:t>
      </w:r>
    </w:p>
    <w:p w14:paraId="0F1B90C2" w14:textId="5C23E20E" w:rsidR="00E9217D" w:rsidRDefault="00E9217D" w:rsidP="00D324FC">
      <w:r w:rsidRPr="00E9217D">
        <w:t>Jain, P. &amp; Motwani, R., 2013. Morphological variations of superior mesenteric artery: a cadaveric study. Int J Anat Res.</w:t>
      </w:r>
    </w:p>
    <w:p w14:paraId="67A41BAF" w14:textId="7D1A678A" w:rsidR="0069429A" w:rsidRDefault="0069429A" w:rsidP="00D324FC">
      <w:r w:rsidRPr="0069429A">
        <w:t>Jernberg, C., Long-term impacts of antibiotic exposure on the human intestinal microbiota, Microbiology (2010), 156, 3216–3223</w:t>
      </w:r>
    </w:p>
    <w:p w14:paraId="79030DDE" w14:textId="2FD5A091" w:rsidR="00BE664A" w:rsidRDefault="00BE664A" w:rsidP="00D324FC">
      <w:r w:rsidRPr="00BE664A">
        <w:t>Jirasek, 2004,</w:t>
      </w:r>
      <w:r>
        <w:t xml:space="preserve"> </w:t>
      </w:r>
      <w:r w:rsidRPr="00BE664A">
        <w:t>An Atlas of Human Prenatal developmental Mechanics, Taylor &amp; Francis</w:t>
      </w:r>
    </w:p>
    <w:p w14:paraId="58174126" w14:textId="4ED7018F" w:rsidR="001A1AE0" w:rsidRDefault="001A1AE0" w:rsidP="00D324FC">
      <w:r w:rsidRPr="001A1AE0">
        <w:t>Kapfer, S.A. &amp; Rappold, J.F., 2004. Intestinal Malrotation—Not Just the Pediatric Surgeon’s Problem, Journal of the American College of Surgeons.</w:t>
      </w:r>
    </w:p>
    <w:p w14:paraId="6407FE84" w14:textId="46ECE848" w:rsidR="00365F92" w:rsidRDefault="00365F92" w:rsidP="00D324FC">
      <w:r w:rsidRPr="00365F92">
        <w:t>Kirby, M.L., Cardiac development, 2007, p.288, Oxford University Press</w:t>
      </w:r>
    </w:p>
    <w:p w14:paraId="0997EA6D" w14:textId="46747D91" w:rsidR="007254A0" w:rsidRDefault="007254A0" w:rsidP="00D324FC">
      <w:r w:rsidRPr="007254A0">
        <w:t>MALJAARS, J., Peters, H.P.F. &amp; MASCLEE, A.M., 2007. Review article: the gastrointestinal tract: neuroendocrine regulation of satiety and food intake. Alimentary Pharmacology and Therapeutics, 26(Suppl. 2), pp.241–250.</w:t>
      </w:r>
    </w:p>
    <w:p w14:paraId="7E0204A1" w14:textId="3766F250" w:rsidR="00AE3C6C" w:rsidRDefault="00AE3C6C" w:rsidP="00D324FC">
      <w:r w:rsidRPr="00AE3C6C">
        <w:t>Mannaa, F.A. &amp; Abdel-Wahhab, K.G., 2016. Physiological potential of cytokines and liver damages. Hepatoma Research, 2(6), pp.131–13.</w:t>
      </w:r>
    </w:p>
    <w:p w14:paraId="3E1D7510" w14:textId="5558C75D" w:rsidR="00002B27" w:rsidRDefault="00002B27" w:rsidP="00D324FC">
      <w:r w:rsidRPr="00002B27">
        <w:t>Martin, Francois-Pierre J., et al. "Topographical Variation in Murine Intestinal Metabolic Profiles in Relation to Microbiome Speciation and Functional Ecological Activity."</w:t>
      </w:r>
    </w:p>
    <w:p w14:paraId="49E50B42" w14:textId="23607962" w:rsidR="00C12BCD" w:rsidRDefault="00C12BCD" w:rsidP="00D324FC">
      <w:r w:rsidRPr="00C12BCD">
        <w:t>Mavrides, E. et al., 2001. The anatomy of the umbilical, portal and hepatic venous systems in the human fetus at 14-19 weeks of gestation. Ultrasound in Obstetrics and Gynecology, 18(6), pp.598–604.</w:t>
      </w:r>
    </w:p>
    <w:p w14:paraId="74F4A18F" w14:textId="71B300F4" w:rsidR="00405DE6" w:rsidRDefault="00405DE6" w:rsidP="00D324FC">
      <w:r w:rsidRPr="00405DE6">
        <w:t>Milnes, K. and R. W. Moran (2007). "Physiological effects of a CV4 cranial osteopathic technique on autonomic nervous system function: A preliminary investigation." International journal of osteopathic medicine 10(1): 8-17.</w:t>
      </w:r>
    </w:p>
    <w:p w14:paraId="146374D4" w14:textId="0B356E4B" w:rsidR="00815128" w:rsidRDefault="00815128" w:rsidP="00D324FC">
      <w:r w:rsidRPr="00815128">
        <w:t>Montgomery, D., 2016, The hidden half of nature; the microbial roots of life and health, W.W.Norton &amp; Company</w:t>
      </w:r>
    </w:p>
    <w:p w14:paraId="004A6313" w14:textId="30775B87" w:rsidR="009A6D20" w:rsidRDefault="009A6D20" w:rsidP="00D324FC">
      <w:r w:rsidRPr="009A6D20">
        <w:t>Moore, 2007,</w:t>
      </w:r>
      <w:r>
        <w:t xml:space="preserve"> </w:t>
      </w:r>
      <w:r w:rsidRPr="009A6D20">
        <w:t>Embryologie</w:t>
      </w:r>
      <w:r>
        <w:t>,</w:t>
      </w:r>
      <w:r w:rsidRPr="009A6D20">
        <w:t xml:space="preserve"> Urban &amp; Fischer</w:t>
      </w:r>
    </w:p>
    <w:p w14:paraId="6DFF0CBA" w14:textId="005D904F" w:rsidR="008803CE" w:rsidRDefault="008803CE" w:rsidP="00D324FC">
      <w:r w:rsidRPr="008803CE">
        <w:t>H. K. Pannu, M. Oliphant, 2015,  The subperitoneal space and peritoneal cavity, Abdom Imaging</w:t>
      </w:r>
    </w:p>
    <w:p w14:paraId="55188397" w14:textId="1D1A3A50" w:rsidR="00E22708" w:rsidRDefault="00E22708" w:rsidP="00D324FC">
      <w:r w:rsidRPr="00E22708">
        <w:t>Paoletti, 2001, Faszien</w:t>
      </w:r>
      <w:r>
        <w:t>,</w:t>
      </w:r>
      <w:r w:rsidRPr="00E22708">
        <w:t>Urban &amp; Fischer</w:t>
      </w:r>
    </w:p>
    <w:p w14:paraId="123BE083" w14:textId="584F2967" w:rsidR="00EA35B2" w:rsidRDefault="00EA35B2" w:rsidP="00D324FC">
      <w:r w:rsidRPr="00EA35B2">
        <w:t>Paoletti, 2006, Fascia: anatomy, dysfunction and treatment</w:t>
      </w:r>
    </w:p>
    <w:p w14:paraId="621CA196" w14:textId="58DDF04E" w:rsidR="00C12BCD" w:rsidRDefault="00C12BCD" w:rsidP="00D324FC">
      <w:r w:rsidRPr="00C12BCD">
        <w:lastRenderedPageBreak/>
        <w:t>Oliver, J.A. &amp; Verna, E.C., 2010. Afferent mechanisms of sodium retention in cirrhosis and hepatorenal syndrome. Kidney International, 77(8), pp.669–680.</w:t>
      </w:r>
    </w:p>
    <w:p w14:paraId="761800B3" w14:textId="717DE821" w:rsidR="003E41CC" w:rsidRDefault="003E41CC" w:rsidP="00D324FC">
      <w:r>
        <w:t>Peritoneal Dialysis International, JUly 2011 - Vol. 31, No. 4, pp. 466-476</w:t>
      </w:r>
    </w:p>
    <w:p w14:paraId="063F370C" w14:textId="54888639" w:rsidR="007254A0" w:rsidRDefault="007254A0" w:rsidP="00D324FC">
      <w:r w:rsidRPr="007254A0">
        <w:t>Pizzolorusso, G., et al. (2011). "Effect of osteopathic manipulative treatment on gastrointestinal function and length of stay of preterm infants: an exploratory study." Chiropr Man Therap 19(1): 15.</w:t>
      </w:r>
    </w:p>
    <w:p w14:paraId="14922A87" w14:textId="544D3938" w:rsidR="00B07C96" w:rsidRDefault="00B07C96" w:rsidP="00D324FC">
      <w:r w:rsidRPr="00B07C96">
        <w:t>Robinson, M.W., Harmon, C. &amp; Farrelly, C.O.R., 2016. Liver immunology and its role in inflammation and homeostasis. 13(3), pp.267–276.</w:t>
      </w:r>
    </w:p>
    <w:p w14:paraId="553C7908" w14:textId="627563F9" w:rsidR="00FF1A8D" w:rsidRDefault="00FF1A8D" w:rsidP="00D324FC">
      <w:r w:rsidRPr="00FF1A8D">
        <w:t>Roosinck, M.J., 2011, The good viruses, viral mutualistic symbiosis</w:t>
      </w:r>
    </w:p>
    <w:p w14:paraId="233D0E49" w14:textId="71228ADA" w:rsidR="00B07C96" w:rsidRDefault="00B07C96" w:rsidP="00D324FC">
      <w:r>
        <w:t>Shigehisa Aoki, 2011, FLUID FLOW STRESS AFFECTS PERITONEAL CELL KINETICS: POSSIBLE PATHOGENESIS OF PERITONEAL FIBROSIS</w:t>
      </w:r>
    </w:p>
    <w:p w14:paraId="4E5AB5B5" w14:textId="05F6FBC7" w:rsidR="00753E4A" w:rsidRDefault="00753E4A" w:rsidP="00D324FC">
      <w:r w:rsidRPr="00753E4A">
        <w:t>Sinturel et al., 2017, Cell 169, 651–663</w:t>
      </w:r>
    </w:p>
    <w:p w14:paraId="6C74C0A0" w14:textId="36FBE2D6" w:rsidR="00C2054B" w:rsidRDefault="00C2054B" w:rsidP="00D324FC">
      <w:r w:rsidRPr="00C2054B">
        <w:t>Sobotta, 1980??</w:t>
      </w:r>
    </w:p>
    <w:p w14:paraId="2F3FD112" w14:textId="72799B63" w:rsidR="00405E23" w:rsidRDefault="00450C03" w:rsidP="00D324FC">
      <w:r w:rsidRPr="00450C03">
        <w:t>Soffers, J.H. et al., 2015. The growth pattern of the human intestine and its mesentery. BMC Developmental Biology, pp.1–17.</w:t>
      </w:r>
    </w:p>
    <w:p w14:paraId="3E4B0878" w14:textId="2ED2C52F" w:rsidR="0098705D" w:rsidRDefault="0098705D" w:rsidP="00D324FC">
      <w:r w:rsidRPr="0098705D">
        <w:t>Stankovic, Z., 2016. Four-dimensional flow magnetic resonance imaging in cirrhosis. World Journal of Gastroenterology, 22(1), pp.89–15.</w:t>
      </w:r>
    </w:p>
    <w:p w14:paraId="66E35D7C" w14:textId="3A6F33DF" w:rsidR="00352F13" w:rsidRDefault="00352F13" w:rsidP="00D324FC">
      <w:r w:rsidRPr="00352F13">
        <w:t>Sureka, B. et al., 2015. Portal vein variations in 1000 patients: surgical and radiological importance. The British Journal of Radiology, 88(1055), pp.20150326–8.</w:t>
      </w:r>
    </w:p>
    <w:p w14:paraId="5E5DEF23" w14:textId="77777777" w:rsidR="00144FB4" w:rsidRDefault="00144FB4" w:rsidP="000D0B99">
      <w:r w:rsidRPr="00352F13">
        <w:t>Tanaka, M. &amp; Iwakiri, Y., 2016. The Hepatic Lymphatic Vascular System: Structure, Function, Markers, and Lymphangiogenesis. Cellular and Molecular Gastroenterology and Hepatology, 2(6), pp.733–749.</w:t>
      </w:r>
    </w:p>
    <w:p w14:paraId="5725C0AF" w14:textId="11B4D4C5" w:rsidR="00144FB4" w:rsidRDefault="00144FB4" w:rsidP="00D324FC">
      <w:r>
        <w:t>K.Si-Tayeb, 2010, Organogenesis and Development of the Liver Developmental Cell 18</w:t>
      </w:r>
    </w:p>
    <w:p w14:paraId="2658AD34" w14:textId="29634CD6" w:rsidR="008B681E" w:rsidRDefault="008B681E" w:rsidP="00D324FC">
      <w:r w:rsidRPr="008B681E">
        <w:t>Tuchman-Duplessis H, Haegel P. Organogenesis. Illustrated Human Embryology . Vol. 2. New York: Springer-Verlag; 1972</w:t>
      </w:r>
    </w:p>
    <w:p w14:paraId="14D0F606" w14:textId="61ACA40D" w:rsidR="00DB6CFD" w:rsidRDefault="007326BE" w:rsidP="00D324FC">
      <w:r w:rsidRPr="007326BE">
        <w:t>Verdu, E.F., Galipeau, H.J. &amp; Jabri, B., 2015. Novel players in coeliac disease pathogenesis: role of the gut microbiota. Nature Reviews Gastroenterology and Hepatology, 12(9), pp.497–506.</w:t>
      </w:r>
    </w:p>
    <w:p w14:paraId="371E698E" w14:textId="71136D17" w:rsidR="007326BE" w:rsidRDefault="007326BE" w:rsidP="00D324FC">
      <w:r w:rsidRPr="007326BE">
        <w:t>L.P. Villarreal, G. Witzany / Journal of Theoretical Biology 262 (2010) 698–710 699</w:t>
      </w:r>
    </w:p>
    <w:p w14:paraId="114CFFA6" w14:textId="0C2D5D28" w:rsidR="006D6C1A" w:rsidRDefault="006D6C1A" w:rsidP="00D324FC">
      <w:r w:rsidRPr="006D6C1A">
        <w:t>Vos, C., 2014, Osteopathie und gastro-ösophageale(r) Reflux (Krankheit), Thesis OSD</w:t>
      </w:r>
    </w:p>
    <w:p w14:paraId="43D09508" w14:textId="6F25C780" w:rsidR="00605AC1" w:rsidRDefault="0098705D" w:rsidP="00D324FC">
      <w:r w:rsidRPr="0098705D">
        <w:t>Williams, K.C. et al., 2016. Cancer dissemination from a physical sciences perspective. Convergent Science Physical Oncology, 2(2), pp.023001–15.</w:t>
      </w:r>
    </w:p>
    <w:p w14:paraId="17635AE9" w14:textId="760A78C7" w:rsidR="00753E4A" w:rsidRDefault="00753E4A" w:rsidP="00D324FC">
      <w:r w:rsidRPr="00753E4A">
        <w:t>Zeisberg, M. &amp; Kalluri, R., 2013. Cellular Mechanisms of Tissue Fibrosis. 1. Common and organ-specific mechanisms associated with tissue fibrosis. AJP: Cell Physiology, 304(3), pp.C216–C225.</w:t>
      </w:r>
    </w:p>
    <w:p w14:paraId="6EDCF285" w14:textId="3331A673" w:rsidR="00605AC1" w:rsidRPr="00D324FC" w:rsidRDefault="00605AC1" w:rsidP="00D324FC">
      <w:r w:rsidRPr="00605AC1">
        <w:t>Fetal and Maternal Physiology 2010</w:t>
      </w:r>
    </w:p>
    <w:sectPr w:rsidR="00605AC1" w:rsidRPr="00D32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2CBB9" w14:textId="77777777" w:rsidR="00207448" w:rsidRDefault="00207448" w:rsidP="0016644F">
      <w:pPr>
        <w:spacing w:after="0" w:line="240" w:lineRule="auto"/>
      </w:pPr>
      <w:r>
        <w:separator/>
      </w:r>
    </w:p>
  </w:endnote>
  <w:endnote w:type="continuationSeparator" w:id="0">
    <w:p w14:paraId="1731CEC3" w14:textId="77777777" w:rsidR="00207448" w:rsidRDefault="00207448" w:rsidP="0016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LightOblique">
    <w:altName w:val="Helvetic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7CC11" w14:textId="77777777" w:rsidR="00207448" w:rsidRDefault="00207448" w:rsidP="0016644F">
      <w:pPr>
        <w:spacing w:after="0" w:line="240" w:lineRule="auto"/>
      </w:pPr>
      <w:r>
        <w:separator/>
      </w:r>
    </w:p>
  </w:footnote>
  <w:footnote w:type="continuationSeparator" w:id="0">
    <w:p w14:paraId="51A4B5AE" w14:textId="77777777" w:rsidR="00207448" w:rsidRDefault="00207448" w:rsidP="00166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C05FC"/>
    <w:multiLevelType w:val="hybridMultilevel"/>
    <w:tmpl w:val="3A145C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35A77"/>
    <w:multiLevelType w:val="hybridMultilevel"/>
    <w:tmpl w:val="3EB628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83B39"/>
    <w:multiLevelType w:val="hybridMultilevel"/>
    <w:tmpl w:val="8684FE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676CB"/>
    <w:multiLevelType w:val="hybridMultilevel"/>
    <w:tmpl w:val="E47C2F2C"/>
    <w:lvl w:ilvl="0" w:tplc="268072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8E3B39"/>
    <w:multiLevelType w:val="hybridMultilevel"/>
    <w:tmpl w:val="966E8544"/>
    <w:lvl w:ilvl="0" w:tplc="06AE8E1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6" w:hanging="360"/>
      </w:pPr>
    </w:lvl>
    <w:lvl w:ilvl="2" w:tplc="0413001B" w:tentative="1">
      <w:start w:val="1"/>
      <w:numFmt w:val="lowerRoman"/>
      <w:lvlText w:val="%3."/>
      <w:lvlJc w:val="right"/>
      <w:pPr>
        <w:ind w:left="2506" w:hanging="180"/>
      </w:pPr>
    </w:lvl>
    <w:lvl w:ilvl="3" w:tplc="0413000F" w:tentative="1">
      <w:start w:val="1"/>
      <w:numFmt w:val="decimal"/>
      <w:lvlText w:val="%4."/>
      <w:lvlJc w:val="left"/>
      <w:pPr>
        <w:ind w:left="3226" w:hanging="360"/>
      </w:pPr>
    </w:lvl>
    <w:lvl w:ilvl="4" w:tplc="04130019" w:tentative="1">
      <w:start w:val="1"/>
      <w:numFmt w:val="lowerLetter"/>
      <w:lvlText w:val="%5."/>
      <w:lvlJc w:val="left"/>
      <w:pPr>
        <w:ind w:left="3946" w:hanging="360"/>
      </w:pPr>
    </w:lvl>
    <w:lvl w:ilvl="5" w:tplc="0413001B" w:tentative="1">
      <w:start w:val="1"/>
      <w:numFmt w:val="lowerRoman"/>
      <w:lvlText w:val="%6."/>
      <w:lvlJc w:val="right"/>
      <w:pPr>
        <w:ind w:left="4666" w:hanging="180"/>
      </w:pPr>
    </w:lvl>
    <w:lvl w:ilvl="6" w:tplc="0413000F" w:tentative="1">
      <w:start w:val="1"/>
      <w:numFmt w:val="decimal"/>
      <w:lvlText w:val="%7."/>
      <w:lvlJc w:val="left"/>
      <w:pPr>
        <w:ind w:left="5386" w:hanging="360"/>
      </w:pPr>
    </w:lvl>
    <w:lvl w:ilvl="7" w:tplc="04130019" w:tentative="1">
      <w:start w:val="1"/>
      <w:numFmt w:val="lowerLetter"/>
      <w:lvlText w:val="%8."/>
      <w:lvlJc w:val="left"/>
      <w:pPr>
        <w:ind w:left="6106" w:hanging="360"/>
      </w:pPr>
    </w:lvl>
    <w:lvl w:ilvl="8" w:tplc="0413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1CCC0724"/>
    <w:multiLevelType w:val="hybridMultilevel"/>
    <w:tmpl w:val="60DA22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35022"/>
    <w:multiLevelType w:val="hybridMultilevel"/>
    <w:tmpl w:val="1514FF5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537E2"/>
    <w:multiLevelType w:val="hybridMultilevel"/>
    <w:tmpl w:val="2B2809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F3BE8"/>
    <w:multiLevelType w:val="hybridMultilevel"/>
    <w:tmpl w:val="D4AAFE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5D68A4"/>
    <w:multiLevelType w:val="hybridMultilevel"/>
    <w:tmpl w:val="D6DA15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F14F8"/>
    <w:multiLevelType w:val="hybridMultilevel"/>
    <w:tmpl w:val="49E077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2006E"/>
    <w:multiLevelType w:val="hybridMultilevel"/>
    <w:tmpl w:val="695C488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B2004"/>
    <w:multiLevelType w:val="hybridMultilevel"/>
    <w:tmpl w:val="70969B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05E4F"/>
    <w:multiLevelType w:val="hybridMultilevel"/>
    <w:tmpl w:val="859A00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92626"/>
    <w:multiLevelType w:val="hybridMultilevel"/>
    <w:tmpl w:val="4D9E18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C0378"/>
    <w:multiLevelType w:val="hybridMultilevel"/>
    <w:tmpl w:val="5824D1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45D73"/>
    <w:multiLevelType w:val="hybridMultilevel"/>
    <w:tmpl w:val="974A61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402FA"/>
    <w:multiLevelType w:val="hybridMultilevel"/>
    <w:tmpl w:val="39BC6D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32BAC"/>
    <w:multiLevelType w:val="hybridMultilevel"/>
    <w:tmpl w:val="2F5060DA"/>
    <w:lvl w:ilvl="0" w:tplc="F1BEC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26C68"/>
    <w:multiLevelType w:val="hybridMultilevel"/>
    <w:tmpl w:val="61346ECC"/>
    <w:lvl w:ilvl="0" w:tplc="C1B013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C79C0"/>
    <w:multiLevelType w:val="hybridMultilevel"/>
    <w:tmpl w:val="072C7FB4"/>
    <w:lvl w:ilvl="0" w:tplc="0413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1722B"/>
    <w:multiLevelType w:val="hybridMultilevel"/>
    <w:tmpl w:val="7C1EEE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D34BB"/>
    <w:multiLevelType w:val="hybridMultilevel"/>
    <w:tmpl w:val="DC902E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D554D"/>
    <w:multiLevelType w:val="hybridMultilevel"/>
    <w:tmpl w:val="619650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D22C4"/>
    <w:multiLevelType w:val="hybridMultilevel"/>
    <w:tmpl w:val="619650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514C5"/>
    <w:multiLevelType w:val="hybridMultilevel"/>
    <w:tmpl w:val="D818B4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22"/>
  </w:num>
  <w:num w:numId="5">
    <w:abstractNumId w:val="14"/>
  </w:num>
  <w:num w:numId="6">
    <w:abstractNumId w:val="12"/>
  </w:num>
  <w:num w:numId="7">
    <w:abstractNumId w:val="21"/>
  </w:num>
  <w:num w:numId="8">
    <w:abstractNumId w:val="10"/>
  </w:num>
  <w:num w:numId="9">
    <w:abstractNumId w:val="19"/>
  </w:num>
  <w:num w:numId="10">
    <w:abstractNumId w:val="15"/>
  </w:num>
  <w:num w:numId="11">
    <w:abstractNumId w:val="16"/>
  </w:num>
  <w:num w:numId="12">
    <w:abstractNumId w:val="7"/>
  </w:num>
  <w:num w:numId="13">
    <w:abstractNumId w:val="25"/>
  </w:num>
  <w:num w:numId="14">
    <w:abstractNumId w:val="13"/>
  </w:num>
  <w:num w:numId="15">
    <w:abstractNumId w:val="24"/>
  </w:num>
  <w:num w:numId="16">
    <w:abstractNumId w:val="0"/>
  </w:num>
  <w:num w:numId="17">
    <w:abstractNumId w:val="5"/>
  </w:num>
  <w:num w:numId="18">
    <w:abstractNumId w:val="18"/>
  </w:num>
  <w:num w:numId="19">
    <w:abstractNumId w:val="26"/>
  </w:num>
  <w:num w:numId="20">
    <w:abstractNumId w:val="8"/>
  </w:num>
  <w:num w:numId="21">
    <w:abstractNumId w:val="1"/>
  </w:num>
  <w:num w:numId="22">
    <w:abstractNumId w:val="3"/>
  </w:num>
  <w:num w:numId="23">
    <w:abstractNumId w:val="17"/>
  </w:num>
  <w:num w:numId="24">
    <w:abstractNumId w:val="2"/>
  </w:num>
  <w:num w:numId="25">
    <w:abstractNumId w:val="11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D87"/>
    <w:rsid w:val="000012CB"/>
    <w:rsid w:val="00002B27"/>
    <w:rsid w:val="000167ED"/>
    <w:rsid w:val="00021130"/>
    <w:rsid w:val="00021224"/>
    <w:rsid w:val="0003125C"/>
    <w:rsid w:val="00043387"/>
    <w:rsid w:val="00053569"/>
    <w:rsid w:val="000616BD"/>
    <w:rsid w:val="00065A9E"/>
    <w:rsid w:val="000732E8"/>
    <w:rsid w:val="000742B8"/>
    <w:rsid w:val="00094332"/>
    <w:rsid w:val="00095762"/>
    <w:rsid w:val="000A2BB9"/>
    <w:rsid w:val="000A7820"/>
    <w:rsid w:val="000D4BFF"/>
    <w:rsid w:val="000D51A4"/>
    <w:rsid w:val="000E4CB1"/>
    <w:rsid w:val="000E6628"/>
    <w:rsid w:val="000E6B76"/>
    <w:rsid w:val="000F0641"/>
    <w:rsid w:val="000F6172"/>
    <w:rsid w:val="00102554"/>
    <w:rsid w:val="001061B3"/>
    <w:rsid w:val="00106E83"/>
    <w:rsid w:val="001148A9"/>
    <w:rsid w:val="0012652E"/>
    <w:rsid w:val="001307E0"/>
    <w:rsid w:val="00144FB4"/>
    <w:rsid w:val="00151D17"/>
    <w:rsid w:val="00152532"/>
    <w:rsid w:val="0016644F"/>
    <w:rsid w:val="001A1AE0"/>
    <w:rsid w:val="001A40C2"/>
    <w:rsid w:val="001A625E"/>
    <w:rsid w:val="001C02B3"/>
    <w:rsid w:val="001E0123"/>
    <w:rsid w:val="001E6D45"/>
    <w:rsid w:val="00205F70"/>
    <w:rsid w:val="00207448"/>
    <w:rsid w:val="00231B0D"/>
    <w:rsid w:val="0023247B"/>
    <w:rsid w:val="00253867"/>
    <w:rsid w:val="00262B80"/>
    <w:rsid w:val="00264DFD"/>
    <w:rsid w:val="002654E2"/>
    <w:rsid w:val="00266692"/>
    <w:rsid w:val="002717CA"/>
    <w:rsid w:val="0027639D"/>
    <w:rsid w:val="00277762"/>
    <w:rsid w:val="00284C40"/>
    <w:rsid w:val="002871CA"/>
    <w:rsid w:val="0029721F"/>
    <w:rsid w:val="002A1449"/>
    <w:rsid w:val="002A3FCE"/>
    <w:rsid w:val="002B0BF1"/>
    <w:rsid w:val="002B297B"/>
    <w:rsid w:val="002B2CA1"/>
    <w:rsid w:val="002B5322"/>
    <w:rsid w:val="002C40AE"/>
    <w:rsid w:val="002D4D95"/>
    <w:rsid w:val="002F0893"/>
    <w:rsid w:val="0030079D"/>
    <w:rsid w:val="0030257C"/>
    <w:rsid w:val="00307373"/>
    <w:rsid w:val="00313266"/>
    <w:rsid w:val="00314CB7"/>
    <w:rsid w:val="00315559"/>
    <w:rsid w:val="00315E6A"/>
    <w:rsid w:val="00334EE8"/>
    <w:rsid w:val="00340C5C"/>
    <w:rsid w:val="00352F13"/>
    <w:rsid w:val="003554EC"/>
    <w:rsid w:val="00356628"/>
    <w:rsid w:val="00365F92"/>
    <w:rsid w:val="00373B9B"/>
    <w:rsid w:val="00382638"/>
    <w:rsid w:val="0038411D"/>
    <w:rsid w:val="003847B5"/>
    <w:rsid w:val="00384B8C"/>
    <w:rsid w:val="00396184"/>
    <w:rsid w:val="003A19EB"/>
    <w:rsid w:val="003A72F0"/>
    <w:rsid w:val="003D0864"/>
    <w:rsid w:val="003D0FFB"/>
    <w:rsid w:val="003D1F6B"/>
    <w:rsid w:val="003D3A7E"/>
    <w:rsid w:val="003D3D45"/>
    <w:rsid w:val="003E057B"/>
    <w:rsid w:val="003E364A"/>
    <w:rsid w:val="003E41CC"/>
    <w:rsid w:val="003F7DA3"/>
    <w:rsid w:val="0040059F"/>
    <w:rsid w:val="00405DE6"/>
    <w:rsid w:val="00405E23"/>
    <w:rsid w:val="004133F2"/>
    <w:rsid w:val="004165E2"/>
    <w:rsid w:val="00421DD8"/>
    <w:rsid w:val="00422523"/>
    <w:rsid w:val="00440A41"/>
    <w:rsid w:val="00442646"/>
    <w:rsid w:val="00445B72"/>
    <w:rsid w:val="00450C03"/>
    <w:rsid w:val="00451EB5"/>
    <w:rsid w:val="00452230"/>
    <w:rsid w:val="00466428"/>
    <w:rsid w:val="00471AC1"/>
    <w:rsid w:val="00475E94"/>
    <w:rsid w:val="00480A8A"/>
    <w:rsid w:val="0048113A"/>
    <w:rsid w:val="00483653"/>
    <w:rsid w:val="00493D7F"/>
    <w:rsid w:val="004B5571"/>
    <w:rsid w:val="004B793E"/>
    <w:rsid w:val="004D431D"/>
    <w:rsid w:val="004D5ABC"/>
    <w:rsid w:val="004E69AC"/>
    <w:rsid w:val="004E72A4"/>
    <w:rsid w:val="004F1516"/>
    <w:rsid w:val="004F6C92"/>
    <w:rsid w:val="00500D87"/>
    <w:rsid w:val="00534B3A"/>
    <w:rsid w:val="005412C2"/>
    <w:rsid w:val="0054335B"/>
    <w:rsid w:val="00565D28"/>
    <w:rsid w:val="00583615"/>
    <w:rsid w:val="00584D01"/>
    <w:rsid w:val="005872BA"/>
    <w:rsid w:val="005B36D9"/>
    <w:rsid w:val="005C4DD6"/>
    <w:rsid w:val="005E24D5"/>
    <w:rsid w:val="00605AC1"/>
    <w:rsid w:val="00606250"/>
    <w:rsid w:val="00606A86"/>
    <w:rsid w:val="0061211C"/>
    <w:rsid w:val="00612FD2"/>
    <w:rsid w:val="006131A8"/>
    <w:rsid w:val="00622898"/>
    <w:rsid w:val="00622AA4"/>
    <w:rsid w:val="0063225C"/>
    <w:rsid w:val="0064095C"/>
    <w:rsid w:val="00644E99"/>
    <w:rsid w:val="0064692E"/>
    <w:rsid w:val="00650E78"/>
    <w:rsid w:val="00656FBE"/>
    <w:rsid w:val="006771AC"/>
    <w:rsid w:val="006828C9"/>
    <w:rsid w:val="006927FB"/>
    <w:rsid w:val="0069429A"/>
    <w:rsid w:val="006A22D0"/>
    <w:rsid w:val="006A5B39"/>
    <w:rsid w:val="006B1425"/>
    <w:rsid w:val="006B18ED"/>
    <w:rsid w:val="006B38EA"/>
    <w:rsid w:val="006C3EB3"/>
    <w:rsid w:val="006C76FA"/>
    <w:rsid w:val="006D6C1A"/>
    <w:rsid w:val="006E4CAC"/>
    <w:rsid w:val="006F61B5"/>
    <w:rsid w:val="0070014A"/>
    <w:rsid w:val="00705AD5"/>
    <w:rsid w:val="007254A0"/>
    <w:rsid w:val="007326BE"/>
    <w:rsid w:val="007328D3"/>
    <w:rsid w:val="00742E7B"/>
    <w:rsid w:val="00744375"/>
    <w:rsid w:val="00753E4A"/>
    <w:rsid w:val="00753EA6"/>
    <w:rsid w:val="00754458"/>
    <w:rsid w:val="007838E3"/>
    <w:rsid w:val="00790DC9"/>
    <w:rsid w:val="007A0B0B"/>
    <w:rsid w:val="007B3AA2"/>
    <w:rsid w:val="007B428C"/>
    <w:rsid w:val="007B69C1"/>
    <w:rsid w:val="007B7284"/>
    <w:rsid w:val="007C0BEA"/>
    <w:rsid w:val="007C7A2C"/>
    <w:rsid w:val="007D1A82"/>
    <w:rsid w:val="007E3F7D"/>
    <w:rsid w:val="007E64C6"/>
    <w:rsid w:val="007E7F03"/>
    <w:rsid w:val="007F168D"/>
    <w:rsid w:val="007F4774"/>
    <w:rsid w:val="0080652D"/>
    <w:rsid w:val="00815128"/>
    <w:rsid w:val="008617C2"/>
    <w:rsid w:val="00864048"/>
    <w:rsid w:val="008652E1"/>
    <w:rsid w:val="00867015"/>
    <w:rsid w:val="00871EE5"/>
    <w:rsid w:val="008768E1"/>
    <w:rsid w:val="008803CE"/>
    <w:rsid w:val="00892C32"/>
    <w:rsid w:val="008967AA"/>
    <w:rsid w:val="0089712F"/>
    <w:rsid w:val="008A124D"/>
    <w:rsid w:val="008A6108"/>
    <w:rsid w:val="008B004E"/>
    <w:rsid w:val="008B681E"/>
    <w:rsid w:val="008C7701"/>
    <w:rsid w:val="008D587F"/>
    <w:rsid w:val="008D5ABD"/>
    <w:rsid w:val="008F2D87"/>
    <w:rsid w:val="008F46EA"/>
    <w:rsid w:val="009057F9"/>
    <w:rsid w:val="009113CD"/>
    <w:rsid w:val="00921198"/>
    <w:rsid w:val="00924C3C"/>
    <w:rsid w:val="0092582C"/>
    <w:rsid w:val="009755B1"/>
    <w:rsid w:val="0097780B"/>
    <w:rsid w:val="0098705D"/>
    <w:rsid w:val="009A11A4"/>
    <w:rsid w:val="009A6D20"/>
    <w:rsid w:val="009B61DB"/>
    <w:rsid w:val="009C1EC0"/>
    <w:rsid w:val="009C2DA2"/>
    <w:rsid w:val="009C4553"/>
    <w:rsid w:val="009D0BCF"/>
    <w:rsid w:val="009D37C8"/>
    <w:rsid w:val="009D4F29"/>
    <w:rsid w:val="00A25DAB"/>
    <w:rsid w:val="00A60B52"/>
    <w:rsid w:val="00A67FD3"/>
    <w:rsid w:val="00A7153F"/>
    <w:rsid w:val="00A77420"/>
    <w:rsid w:val="00A83692"/>
    <w:rsid w:val="00A97AD9"/>
    <w:rsid w:val="00AA0C4E"/>
    <w:rsid w:val="00AA27D5"/>
    <w:rsid w:val="00AA48FF"/>
    <w:rsid w:val="00AB2F0E"/>
    <w:rsid w:val="00AC7FB2"/>
    <w:rsid w:val="00AD147D"/>
    <w:rsid w:val="00AD5B2C"/>
    <w:rsid w:val="00AE3C6C"/>
    <w:rsid w:val="00AE551C"/>
    <w:rsid w:val="00AF2AC8"/>
    <w:rsid w:val="00AF3BCA"/>
    <w:rsid w:val="00B06E33"/>
    <w:rsid w:val="00B07C96"/>
    <w:rsid w:val="00B2219B"/>
    <w:rsid w:val="00B24904"/>
    <w:rsid w:val="00B341A2"/>
    <w:rsid w:val="00B414C4"/>
    <w:rsid w:val="00B52452"/>
    <w:rsid w:val="00B535F6"/>
    <w:rsid w:val="00B6459F"/>
    <w:rsid w:val="00B65EC0"/>
    <w:rsid w:val="00B726ED"/>
    <w:rsid w:val="00B755F5"/>
    <w:rsid w:val="00B8020B"/>
    <w:rsid w:val="00B8425D"/>
    <w:rsid w:val="00B86EB2"/>
    <w:rsid w:val="00BC495D"/>
    <w:rsid w:val="00BD6082"/>
    <w:rsid w:val="00BE664A"/>
    <w:rsid w:val="00BF73C9"/>
    <w:rsid w:val="00C02354"/>
    <w:rsid w:val="00C03BD9"/>
    <w:rsid w:val="00C0436A"/>
    <w:rsid w:val="00C12BCD"/>
    <w:rsid w:val="00C17531"/>
    <w:rsid w:val="00C17CCA"/>
    <w:rsid w:val="00C2054B"/>
    <w:rsid w:val="00C21823"/>
    <w:rsid w:val="00C271AA"/>
    <w:rsid w:val="00C31B83"/>
    <w:rsid w:val="00C36490"/>
    <w:rsid w:val="00C44C01"/>
    <w:rsid w:val="00C61F65"/>
    <w:rsid w:val="00C67215"/>
    <w:rsid w:val="00C750F8"/>
    <w:rsid w:val="00C7777A"/>
    <w:rsid w:val="00C95524"/>
    <w:rsid w:val="00C963F7"/>
    <w:rsid w:val="00CA580B"/>
    <w:rsid w:val="00CB2D77"/>
    <w:rsid w:val="00CB6975"/>
    <w:rsid w:val="00CC0B08"/>
    <w:rsid w:val="00CC14C9"/>
    <w:rsid w:val="00CC15DE"/>
    <w:rsid w:val="00CE1F56"/>
    <w:rsid w:val="00CE4CC6"/>
    <w:rsid w:val="00D0105A"/>
    <w:rsid w:val="00D211BF"/>
    <w:rsid w:val="00D24C95"/>
    <w:rsid w:val="00D324FC"/>
    <w:rsid w:val="00D42482"/>
    <w:rsid w:val="00D5180B"/>
    <w:rsid w:val="00D52E7D"/>
    <w:rsid w:val="00D75560"/>
    <w:rsid w:val="00D7646A"/>
    <w:rsid w:val="00DA574F"/>
    <w:rsid w:val="00DA744C"/>
    <w:rsid w:val="00DA7D5E"/>
    <w:rsid w:val="00DB0233"/>
    <w:rsid w:val="00DB6CFD"/>
    <w:rsid w:val="00DD027B"/>
    <w:rsid w:val="00DD094C"/>
    <w:rsid w:val="00DD508F"/>
    <w:rsid w:val="00E03B55"/>
    <w:rsid w:val="00E056D2"/>
    <w:rsid w:val="00E159F8"/>
    <w:rsid w:val="00E22708"/>
    <w:rsid w:val="00E9217D"/>
    <w:rsid w:val="00E92F48"/>
    <w:rsid w:val="00EA35B2"/>
    <w:rsid w:val="00EA3E5D"/>
    <w:rsid w:val="00EA7B3F"/>
    <w:rsid w:val="00EC2185"/>
    <w:rsid w:val="00EC651F"/>
    <w:rsid w:val="00EC71EA"/>
    <w:rsid w:val="00ED1544"/>
    <w:rsid w:val="00EE1AC1"/>
    <w:rsid w:val="00EF71E5"/>
    <w:rsid w:val="00F100C2"/>
    <w:rsid w:val="00F10F33"/>
    <w:rsid w:val="00F11699"/>
    <w:rsid w:val="00F145B9"/>
    <w:rsid w:val="00F14E61"/>
    <w:rsid w:val="00F15C59"/>
    <w:rsid w:val="00F27632"/>
    <w:rsid w:val="00F362DD"/>
    <w:rsid w:val="00F472C2"/>
    <w:rsid w:val="00F5521B"/>
    <w:rsid w:val="00F6524E"/>
    <w:rsid w:val="00F71876"/>
    <w:rsid w:val="00F827AA"/>
    <w:rsid w:val="00F86C45"/>
    <w:rsid w:val="00F904BF"/>
    <w:rsid w:val="00F9395B"/>
    <w:rsid w:val="00F94324"/>
    <w:rsid w:val="00FA3926"/>
    <w:rsid w:val="00FA5CD7"/>
    <w:rsid w:val="00FA6991"/>
    <w:rsid w:val="00FB16A4"/>
    <w:rsid w:val="00FB2EB3"/>
    <w:rsid w:val="00FB3A7E"/>
    <w:rsid w:val="00FB4528"/>
    <w:rsid w:val="00FB5B9A"/>
    <w:rsid w:val="00FC7C55"/>
    <w:rsid w:val="00FD3977"/>
    <w:rsid w:val="00FE1121"/>
    <w:rsid w:val="00F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A96D15"/>
  <w15:chartTrackingRefBased/>
  <w15:docId w15:val="{608F1625-3C01-5744-AF3D-C766ECCF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F2D8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Kop1">
    <w:name w:val="heading 1"/>
    <w:basedOn w:val="Kop2"/>
    <w:next w:val="Standaard"/>
    <w:link w:val="Kop1Char"/>
    <w:qFormat/>
    <w:rsid w:val="003D0864"/>
    <w:pPr>
      <w:outlineLvl w:val="0"/>
    </w:pPr>
    <w:rPr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3D0864"/>
    <w:pPr>
      <w:tabs>
        <w:tab w:val="left" w:pos="708"/>
      </w:tabs>
      <w:spacing w:after="0" w:line="360" w:lineRule="auto"/>
      <w:outlineLvl w:val="1"/>
    </w:pPr>
    <w:rPr>
      <w:rFonts w:ascii="HELVETICA NEUE CONDENSED" w:hAnsi="HELVETICA NEUE CONDENSED"/>
      <w:b/>
      <w:bCs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F2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Standaard"/>
    <w:rsid w:val="008F2D87"/>
    <w:pPr>
      <w:ind w:left="720"/>
      <w:contextualSpacing/>
    </w:pPr>
  </w:style>
  <w:style w:type="character" w:styleId="Verwijzingopmerking">
    <w:name w:val="annotation reference"/>
    <w:rsid w:val="0009576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95762"/>
    <w:rPr>
      <w:sz w:val="20"/>
      <w:szCs w:val="20"/>
    </w:rPr>
  </w:style>
  <w:style w:type="character" w:customStyle="1" w:styleId="TekstopmerkingChar">
    <w:name w:val="Tekst opmerking Char"/>
    <w:link w:val="Tekstopmerking"/>
    <w:rsid w:val="00095762"/>
    <w:rPr>
      <w:rFonts w:ascii="Calibri" w:hAnsi="Calibr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95762"/>
    <w:rPr>
      <w:b/>
      <w:bCs/>
    </w:rPr>
  </w:style>
  <w:style w:type="character" w:customStyle="1" w:styleId="OnderwerpvanopmerkingChar">
    <w:name w:val="Onderwerp van opmerking Char"/>
    <w:link w:val="Onderwerpvanopmerking"/>
    <w:rsid w:val="00095762"/>
    <w:rPr>
      <w:rFonts w:ascii="Calibri" w:hAnsi="Calibri"/>
      <w:b/>
      <w:bCs/>
      <w:lang w:eastAsia="en-US"/>
    </w:rPr>
  </w:style>
  <w:style w:type="paragraph" w:styleId="Ballontekst">
    <w:name w:val="Balloon Text"/>
    <w:basedOn w:val="Standaard"/>
    <w:link w:val="BallontekstChar"/>
    <w:rsid w:val="0009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95762"/>
    <w:rPr>
      <w:rFonts w:ascii="Tahoma" w:hAnsi="Tahoma" w:cs="Tahoma"/>
      <w:sz w:val="16"/>
      <w:szCs w:val="16"/>
      <w:lang w:eastAsia="en-US"/>
    </w:rPr>
  </w:style>
  <w:style w:type="character" w:customStyle="1" w:styleId="Kop2Char">
    <w:name w:val="Kop 2 Char"/>
    <w:link w:val="Kop2"/>
    <w:rsid w:val="003D0864"/>
    <w:rPr>
      <w:rFonts w:ascii="HELVETICA NEUE CONDENSED" w:hAnsi="HELVETICA NEUE CONDENSED"/>
      <w:b/>
      <w:bCs/>
      <w:color w:val="2F5496" w:themeColor="accent1" w:themeShade="BF"/>
      <w:sz w:val="26"/>
      <w:szCs w:val="26"/>
      <w:lang w:eastAsia="en-US"/>
    </w:rPr>
  </w:style>
  <w:style w:type="character" w:styleId="Hyperlink">
    <w:name w:val="Hyperlink"/>
    <w:rsid w:val="00F362DD"/>
    <w:rPr>
      <w:color w:val="0000FF"/>
      <w:u w:val="single"/>
    </w:rPr>
  </w:style>
  <w:style w:type="paragraph" w:styleId="Koptekst">
    <w:name w:val="header"/>
    <w:basedOn w:val="Standaard"/>
    <w:link w:val="KoptekstChar"/>
    <w:rsid w:val="0016644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16644F"/>
    <w:rPr>
      <w:rFonts w:ascii="Calibri" w:hAnsi="Calibri"/>
      <w:sz w:val="22"/>
      <w:szCs w:val="22"/>
      <w:lang w:eastAsia="en-US"/>
    </w:rPr>
  </w:style>
  <w:style w:type="paragraph" w:styleId="Voettekst">
    <w:name w:val="footer"/>
    <w:basedOn w:val="Standaard"/>
    <w:link w:val="VoettekstChar"/>
    <w:rsid w:val="0016644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16644F"/>
    <w:rPr>
      <w:rFonts w:ascii="Calibri" w:hAnsi="Calibri"/>
      <w:sz w:val="22"/>
      <w:szCs w:val="22"/>
      <w:lang w:eastAsia="en-US"/>
    </w:rPr>
  </w:style>
  <w:style w:type="character" w:styleId="GevolgdeHyperlink">
    <w:name w:val="FollowedHyperlink"/>
    <w:rsid w:val="008B004E"/>
    <w:rPr>
      <w:color w:val="954F72"/>
      <w:u w:val="single"/>
    </w:rPr>
  </w:style>
  <w:style w:type="character" w:customStyle="1" w:styleId="Kop1Char">
    <w:name w:val="Kop 1 Char"/>
    <w:link w:val="Kop1"/>
    <w:rsid w:val="003D0864"/>
    <w:rPr>
      <w:rFonts w:ascii="HELVETICA NEUE CONDENSED" w:hAnsi="HELVETICA NEUE CONDENSED"/>
      <w:b/>
      <w:bCs/>
      <w:color w:val="2F5496" w:themeColor="accent1" w:themeShade="BF"/>
      <w:sz w:val="32"/>
      <w:szCs w:val="32"/>
      <w:lang w:eastAsia="en-US"/>
    </w:rPr>
  </w:style>
  <w:style w:type="character" w:customStyle="1" w:styleId="Onopgelostemelding1">
    <w:name w:val="Onopgeloste melding1"/>
    <w:uiPriority w:val="99"/>
    <w:semiHidden/>
    <w:unhideWhenUsed/>
    <w:rsid w:val="00396184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05AD5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DB6CFD"/>
    <w:rPr>
      <w:color w:val="605E5C"/>
      <w:shd w:val="clear" w:color="auto" w:fill="E1DFDD"/>
    </w:rPr>
  </w:style>
  <w:style w:type="paragraph" w:customStyle="1" w:styleId="p1">
    <w:name w:val="p1"/>
    <w:basedOn w:val="Standaard"/>
    <w:rsid w:val="00AB2F0E"/>
    <w:pPr>
      <w:spacing w:after="0" w:line="240" w:lineRule="auto"/>
      <w:jc w:val="center"/>
    </w:pPr>
    <w:rPr>
      <w:rFonts w:ascii="Helvetica" w:eastAsiaTheme="minorEastAsia" w:hAnsi="Helvetica"/>
      <w:color w:val="000000"/>
      <w:sz w:val="38"/>
      <w:szCs w:val="38"/>
      <w:lang w:eastAsia="nl-NL"/>
    </w:rPr>
  </w:style>
  <w:style w:type="character" w:customStyle="1" w:styleId="s1">
    <w:name w:val="s1"/>
    <w:basedOn w:val="Standaardalinea-lettertype"/>
    <w:rsid w:val="00AB2F0E"/>
    <w:rPr>
      <w:rFonts w:ascii="Helvetica-LightOblique" w:hAnsi="Helvetica-LightOblique" w:hint="default"/>
      <w:b w:val="0"/>
      <w:bCs w:val="0"/>
      <w:i/>
      <w:i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928</Words>
  <Characters>5784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BRAVO; een gezonde leefstijl – Fitheidstest</vt:lpstr>
      <vt:lpstr>BRAVO; een gezonde leefstijl – Fitheidstest</vt:lpstr>
    </vt:vector>
  </TitlesOfParts>
  <Manager/>
  <Company>Hewlett-Packard</Company>
  <LinksUpToDate>false</LinksUpToDate>
  <CharactersWithSpaces>6699</CharactersWithSpaces>
  <SharedDoc>false</SharedDoc>
  <HyperlinkBase/>
  <HLinks>
    <vt:vector size="12" baseType="variant">
      <vt:variant>
        <vt:i4>7602287</vt:i4>
      </vt:variant>
      <vt:variant>
        <vt:i4>3</vt:i4>
      </vt:variant>
      <vt:variant>
        <vt:i4>0</vt:i4>
      </vt:variant>
      <vt:variant>
        <vt:i4>5</vt:i4>
      </vt:variant>
      <vt:variant>
        <vt:lpwstr>https://piktochart.com/</vt:lpwstr>
      </vt:variant>
      <vt:variant>
        <vt:lpwstr/>
      </vt:variant>
      <vt:variant>
        <vt:i4>6946928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https://www.youtube.com/watch?v=MG-yzbGdB-U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BRAVO; een gezonde leefstijl – Fitheidstest</dc:title>
  <dc:subject/>
  <dc:creator>Bernadette</dc:creator>
  <cp:keywords/>
  <dc:description/>
  <cp:lastModifiedBy>Sander K</cp:lastModifiedBy>
  <cp:revision>52</cp:revision>
  <cp:lastPrinted>2019-11-15T10:35:00Z</cp:lastPrinted>
  <dcterms:created xsi:type="dcterms:W3CDTF">2020-03-30T09:28:00Z</dcterms:created>
  <dcterms:modified xsi:type="dcterms:W3CDTF">2021-02-24T12:55:00Z</dcterms:modified>
  <cp:category/>
</cp:coreProperties>
</file>